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09</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599"/>
        <w:gridCol w:w="1351"/>
        <w:gridCol w:w="545"/>
        <w:gridCol w:w="737"/>
        <w:gridCol w:w="962"/>
        <w:gridCol w:w="914"/>
        <w:gridCol w:w="736"/>
        <w:gridCol w:w="114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73"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599"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35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54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73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962"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（13%增值税，元/</w:t>
            </w:r>
            <w:r>
              <w:rPr>
                <w:rFonts w:hint="eastAsia" w:ascii="宋体" w:hAnsi="宋体"/>
                <w:b w:val="0"/>
                <w:bCs/>
                <w:color w:val="000000"/>
                <w:szCs w:val="21"/>
                <w:lang w:val="en-US" w:eastAsia="zh-CN"/>
              </w:rPr>
              <w:t>千克</w:t>
            </w:r>
            <w:r>
              <w:rPr>
                <w:rFonts w:hint="eastAsia" w:ascii="宋体" w:hAnsi="宋体"/>
                <w:b w:val="0"/>
                <w:bCs/>
                <w:color w:val="000000"/>
                <w:szCs w:val="21"/>
              </w:rPr>
              <w:t>）</w:t>
            </w:r>
          </w:p>
        </w:tc>
        <w:tc>
          <w:tcPr>
            <w:tcW w:w="91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736"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1146"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138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73"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制冷剂</w:t>
            </w:r>
          </w:p>
        </w:tc>
        <w:tc>
          <w:tcPr>
            <w:tcW w:w="599"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351" w:type="dxa"/>
            <w:vAlign w:val="center"/>
          </w:tcPr>
          <w:p>
            <w:pPr>
              <w:spacing w:line="280" w:lineRule="exact"/>
              <w:jc w:val="center"/>
              <w:rPr>
                <w:rFonts w:ascii="宋体" w:hAnsi="宋体"/>
                <w:b w:val="0"/>
                <w:bCs/>
                <w:color w:val="000000"/>
                <w:sz w:val="18"/>
                <w:szCs w:val="18"/>
              </w:rPr>
            </w:pPr>
            <w:r>
              <w:rPr>
                <w:rFonts w:hint="eastAsia" w:ascii="宋体" w:hAnsi="宋体" w:cs="宋体"/>
                <w:b w:val="0"/>
                <w:bCs/>
                <w:color w:val="auto"/>
                <w:sz w:val="21"/>
                <w:szCs w:val="21"/>
                <w:vertAlign w:val="baseline"/>
                <w:lang w:val="en-US" w:eastAsia="zh-CN"/>
              </w:rPr>
              <w:t>57-PK-101/R134a</w:t>
            </w:r>
          </w:p>
        </w:tc>
        <w:tc>
          <w:tcPr>
            <w:tcW w:w="545"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千克</w:t>
            </w:r>
          </w:p>
        </w:tc>
        <w:tc>
          <w:tcPr>
            <w:tcW w:w="737" w:type="dxa"/>
            <w:vAlign w:val="center"/>
          </w:tcPr>
          <w:p>
            <w:pPr>
              <w:spacing w:line="280" w:lineRule="exact"/>
              <w:jc w:val="both"/>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108.8</w:t>
            </w:r>
          </w:p>
        </w:tc>
        <w:tc>
          <w:tcPr>
            <w:tcW w:w="962"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914"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36"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146"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387" w:type="dxa"/>
            <w:vAlign w:val="center"/>
          </w:tcPr>
          <w:p>
            <w:pPr>
              <w:spacing w:line="280" w:lineRule="exact"/>
              <w:jc w:val="both"/>
              <w:rPr>
                <w:rFonts w:hint="default" w:ascii="宋体" w:hAnsi="宋体" w:eastAsia="宋体"/>
                <w:b w:val="0"/>
                <w:bCs/>
                <w:color w:val="000000"/>
                <w:sz w:val="18"/>
                <w:szCs w:val="18"/>
                <w:lang w:val="en-US" w:eastAsia="zh-CN"/>
              </w:rPr>
            </w:pPr>
            <w:r>
              <w:rPr>
                <w:rFonts w:hint="eastAsia" w:ascii="宋体" w:hAnsi="宋体" w:cs="宋体"/>
                <w:b w:val="0"/>
                <w:bCs/>
                <w:color w:val="auto"/>
                <w:sz w:val="21"/>
                <w:szCs w:val="21"/>
                <w:vertAlign w:val="baseline"/>
                <w:lang w:val="en-US" w:eastAsia="zh-CN"/>
              </w:rPr>
              <w:t>约13.6千克/瓶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23"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6427"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3</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w:t>
      </w:r>
      <w:r>
        <w:rPr>
          <w:rFonts w:hint="eastAsia" w:ascii="宋体" w:hAnsi="宋体" w:cs="宋体"/>
          <w:b w:val="0"/>
          <w:bCs w:val="0"/>
          <w:sz w:val="21"/>
          <w:szCs w:val="21"/>
          <w:lang w:val="en-US" w:eastAsia="zh-CN"/>
        </w:rPr>
        <w:t>瓶</w:t>
      </w:r>
      <w:r>
        <w:rPr>
          <w:rFonts w:hint="eastAsia" w:ascii="宋体" w:hAnsi="宋体" w:cs="宋体"/>
          <w:b w:val="0"/>
          <w:bCs w:val="0"/>
          <w:sz w:val="21"/>
          <w:szCs w:val="21"/>
        </w:rPr>
        <w:t>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color w:val="auto"/>
          <w:sz w:val="21"/>
          <w:szCs w:val="21"/>
          <w:u w:val="single"/>
          <w:lang w:val="en-US" w:eastAsia="zh-CN"/>
        </w:rPr>
        <w:t>09月28日-10月25日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bCs/>
                <w:color w:val="000000"/>
                <w:szCs w:val="21"/>
                <w:u w:val="none"/>
                <w:lang w:val="en-US" w:eastAsia="zh-CN"/>
              </w:rPr>
              <w:t>腾龙芳烃（漳州）</w:t>
            </w:r>
            <w:r>
              <w:rPr>
                <w:rFonts w:hint="eastAsia" w:ascii="宋体" w:hAnsi="宋体"/>
                <w:b/>
                <w:bCs/>
                <w:color w:val="000000"/>
                <w:szCs w:val="21"/>
                <w:u w:val="none"/>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91350600717866709A</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r>
              <w:rPr>
                <w:rFonts w:hint="default" w:eastAsia="宋体"/>
                <w:b w:val="0"/>
                <w:bCs/>
                <w:color w:val="000000"/>
                <w:sz w:val="18"/>
                <w:szCs w:val="18"/>
                <w:lang w:val="en-US" w:eastAsia="zh-CN"/>
              </w:rPr>
              <w:t>福建省漳州市古雷港经济开发区腾龙路 84 号</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r>
              <w:rPr>
                <w:rFonts w:hint="eastAsia"/>
                <w:b w:val="0"/>
                <w:bCs/>
                <w:color w:val="000000"/>
                <w:szCs w:val="21"/>
              </w:rPr>
              <w:t>兴业银行漳州古雷支行</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rPr>
              <w:t>162070100100021071</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lang w:val="en-US" w:eastAsia="zh-CN"/>
              </w:rPr>
              <w:t>91350600717866709A</w:t>
            </w: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供方将比选保证金转为履约保证金并作为质保金，总金额为人民币叁佰元整。合同履约期届满，需方向供方返还无息履约保证金。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w:t>
      </w:r>
      <w:bookmarkStart w:id="0" w:name="_GoBack"/>
      <w:r>
        <w:rPr>
          <w:rFonts w:hint="eastAsia"/>
          <w:szCs w:val="21"/>
          <w:lang w:val="en-US" w:eastAsia="zh-CN"/>
        </w:rPr>
        <w:t>质量</w:t>
      </w:r>
      <w:bookmarkEnd w:id="0"/>
      <w:r>
        <w:rPr>
          <w:rFonts w:hint="eastAsia"/>
          <w:szCs w:val="21"/>
          <w:lang w:val="en-US" w:eastAsia="zh-CN"/>
        </w:rPr>
        <w:t>指标附件：</w:t>
      </w:r>
    </w:p>
    <w:tbl>
      <w:tblPr>
        <w:tblStyle w:val="5"/>
        <w:tblpPr w:leftFromText="180" w:rightFromText="180" w:vertAnchor="text" w:horzAnchor="page" w:tblpX="701" w:tblpY="12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95"/>
        <w:gridCol w:w="1178"/>
        <w:gridCol w:w="1004"/>
        <w:gridCol w:w="1146"/>
        <w:gridCol w:w="84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095"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004" w:type="dxa"/>
          </w:tcPr>
          <w:p>
            <w:pPr>
              <w:widowControl/>
              <w:jc w:val="left"/>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备注</w:t>
            </w:r>
          </w:p>
        </w:tc>
        <w:tc>
          <w:tcPr>
            <w:tcW w:w="1146"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84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294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需求公司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9</w:t>
            </w:r>
            <w:r>
              <w:rPr>
                <w:rFonts w:hint="default" w:ascii="宋体" w:hAnsi="宋体" w:cs="宋体"/>
                <w:b w:val="0"/>
                <w:bCs/>
                <w:color w:val="auto"/>
                <w:sz w:val="21"/>
                <w:szCs w:val="21"/>
                <w:vertAlign w:val="baseline"/>
                <w:lang w:val="en-US" w:eastAsia="zh-CN"/>
              </w:rPr>
              <w:t>003990124</w:t>
            </w:r>
          </w:p>
        </w:tc>
        <w:tc>
          <w:tcPr>
            <w:tcW w:w="109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制冷剂</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57-PK-101/R134a</w:t>
            </w:r>
          </w:p>
        </w:tc>
        <w:tc>
          <w:tcPr>
            <w:tcW w:w="1004"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约13.6千克/瓶</w:t>
            </w:r>
          </w:p>
        </w:tc>
        <w:tc>
          <w:tcPr>
            <w:tcW w:w="1146"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千克</w:t>
            </w:r>
          </w:p>
        </w:tc>
        <w:tc>
          <w:tcPr>
            <w:tcW w:w="845"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108.8</w:t>
            </w:r>
          </w:p>
        </w:tc>
        <w:tc>
          <w:tcPr>
            <w:tcW w:w="2941"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腾龙芳烃（漳州）有限公司</w:t>
            </w:r>
          </w:p>
        </w:tc>
      </w:tr>
    </w:tbl>
    <w:p>
      <w:pPr>
        <w:numPr>
          <w:ilvl w:val="0"/>
          <w:numId w:val="0"/>
        </w:numPr>
        <w:rPr>
          <w:rFonts w:hint="eastAsia"/>
          <w:szCs w:val="21"/>
          <w:lang w:val="en-US" w:eastAsia="zh-CN"/>
        </w:rPr>
      </w:pP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4CB7CC6"/>
    <w:rsid w:val="061A3190"/>
    <w:rsid w:val="06B2643C"/>
    <w:rsid w:val="086472AE"/>
    <w:rsid w:val="09CC693A"/>
    <w:rsid w:val="0B037E84"/>
    <w:rsid w:val="0B1B0CC4"/>
    <w:rsid w:val="0E1740E8"/>
    <w:rsid w:val="0E440B9E"/>
    <w:rsid w:val="0E6970FE"/>
    <w:rsid w:val="0EDF79A6"/>
    <w:rsid w:val="0F423619"/>
    <w:rsid w:val="0FB72352"/>
    <w:rsid w:val="1035108B"/>
    <w:rsid w:val="10BD4A21"/>
    <w:rsid w:val="10D367C4"/>
    <w:rsid w:val="11064BE7"/>
    <w:rsid w:val="11E75EB5"/>
    <w:rsid w:val="13250C1A"/>
    <w:rsid w:val="13E42C19"/>
    <w:rsid w:val="178B0EC0"/>
    <w:rsid w:val="19613011"/>
    <w:rsid w:val="199430EC"/>
    <w:rsid w:val="1B8E0B5C"/>
    <w:rsid w:val="1D594948"/>
    <w:rsid w:val="1EED74E6"/>
    <w:rsid w:val="1F480820"/>
    <w:rsid w:val="1FAB0842"/>
    <w:rsid w:val="22B626AC"/>
    <w:rsid w:val="232E5842"/>
    <w:rsid w:val="23534C93"/>
    <w:rsid w:val="24035B48"/>
    <w:rsid w:val="25414555"/>
    <w:rsid w:val="25D36927"/>
    <w:rsid w:val="26E53DE6"/>
    <w:rsid w:val="289A5AAF"/>
    <w:rsid w:val="28E909A4"/>
    <w:rsid w:val="303A0C3C"/>
    <w:rsid w:val="309256C2"/>
    <w:rsid w:val="31A460AC"/>
    <w:rsid w:val="320F14F2"/>
    <w:rsid w:val="3366704D"/>
    <w:rsid w:val="339748CC"/>
    <w:rsid w:val="33AD6615"/>
    <w:rsid w:val="34B2663B"/>
    <w:rsid w:val="34E120FE"/>
    <w:rsid w:val="35F95909"/>
    <w:rsid w:val="36E17675"/>
    <w:rsid w:val="37E8093B"/>
    <w:rsid w:val="3A0C4C89"/>
    <w:rsid w:val="3AD60A10"/>
    <w:rsid w:val="3AEA0D24"/>
    <w:rsid w:val="3C0349B6"/>
    <w:rsid w:val="3D3A336C"/>
    <w:rsid w:val="3DC9592A"/>
    <w:rsid w:val="3EC03AC9"/>
    <w:rsid w:val="3EF43AF3"/>
    <w:rsid w:val="3EFF6EC8"/>
    <w:rsid w:val="3FB068A5"/>
    <w:rsid w:val="3FD73405"/>
    <w:rsid w:val="3FF55645"/>
    <w:rsid w:val="40867C7D"/>
    <w:rsid w:val="41D47239"/>
    <w:rsid w:val="44017760"/>
    <w:rsid w:val="44187B7F"/>
    <w:rsid w:val="444B3E1C"/>
    <w:rsid w:val="44530D8A"/>
    <w:rsid w:val="46530541"/>
    <w:rsid w:val="470E1400"/>
    <w:rsid w:val="486473DD"/>
    <w:rsid w:val="49DD6E80"/>
    <w:rsid w:val="4EB734BC"/>
    <w:rsid w:val="4ECE18F1"/>
    <w:rsid w:val="50503EC6"/>
    <w:rsid w:val="517C1DE8"/>
    <w:rsid w:val="52CA75BC"/>
    <w:rsid w:val="52E64B7D"/>
    <w:rsid w:val="52EE17E9"/>
    <w:rsid w:val="53A64E58"/>
    <w:rsid w:val="53A87F68"/>
    <w:rsid w:val="55AA141C"/>
    <w:rsid w:val="55DF7A48"/>
    <w:rsid w:val="56DC1C2F"/>
    <w:rsid w:val="56FA6061"/>
    <w:rsid w:val="5B954FB6"/>
    <w:rsid w:val="5D061885"/>
    <w:rsid w:val="5D303F5C"/>
    <w:rsid w:val="5DE315BD"/>
    <w:rsid w:val="5EB62D0C"/>
    <w:rsid w:val="5F731484"/>
    <w:rsid w:val="61EB4237"/>
    <w:rsid w:val="66842272"/>
    <w:rsid w:val="670C4663"/>
    <w:rsid w:val="677A5445"/>
    <w:rsid w:val="67B82E65"/>
    <w:rsid w:val="684235DA"/>
    <w:rsid w:val="69D9386B"/>
    <w:rsid w:val="6AFF56EF"/>
    <w:rsid w:val="6DC50B8B"/>
    <w:rsid w:val="6E0331CE"/>
    <w:rsid w:val="6F1C3C05"/>
    <w:rsid w:val="700C2C1B"/>
    <w:rsid w:val="70900278"/>
    <w:rsid w:val="70C254D0"/>
    <w:rsid w:val="71431BA1"/>
    <w:rsid w:val="722A4863"/>
    <w:rsid w:val="73AC2042"/>
    <w:rsid w:val="761A132F"/>
    <w:rsid w:val="7747096D"/>
    <w:rsid w:val="7848377A"/>
    <w:rsid w:val="79313842"/>
    <w:rsid w:val="79D00591"/>
    <w:rsid w:val="7B554CDF"/>
    <w:rsid w:val="7CCC5050"/>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0</TotalTime>
  <ScaleCrop>false</ScaleCrop>
  <LinksUpToDate>false</LinksUpToDate>
  <CharactersWithSpaces>5500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a</cp:lastModifiedBy>
  <cp:lastPrinted>2019-09-05T01:11:00Z</cp:lastPrinted>
  <dcterms:modified xsi:type="dcterms:W3CDTF">2023-09-12T08:15:06Z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26363F4EB8DB4635A3678A61ACCAF0EE_13</vt:lpwstr>
  </property>
</Properties>
</file>