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码头团队消防水炮防爆电动执行机构</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FHC-PTCG20230911001</w:t>
      </w:r>
      <w:r>
        <w:rPr>
          <w:rFonts w:hint="eastAsia"/>
          <w:color w:val="000000" w:themeColor="text1"/>
          <w:sz w:val="28"/>
          <w:szCs w:val="28"/>
          <w:u w:val="none"/>
          <w:lang w:eastAsia="zh-CN"/>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bookmarkStart w:id="1" w:name="_GoBack"/>
      <w:r>
        <w:rPr>
          <w:rFonts w:hint="eastAsia"/>
          <w:lang w:eastAsia="zh-CN"/>
        </w:rPr>
        <w:t>福建福海创石油化工有限公司就“</w:t>
      </w:r>
      <w:r>
        <w:rPr>
          <w:rFonts w:hint="eastAsia"/>
          <w:color w:val="000000" w:themeColor="text1"/>
          <w:u w:val="single"/>
          <w:lang w:eastAsia="zh-CN"/>
        </w:rPr>
        <w:t>福建福海创石油化工有限公司码头团队消防水炮防爆电动执行机构</w:t>
      </w:r>
      <w:r>
        <w:rPr>
          <w:color w:val="000000" w:themeColor="text1"/>
          <w:u w:val="single"/>
          <w:lang w:eastAsia="zh-CN"/>
        </w:rPr>
        <w:t>采购</w:t>
      </w:r>
      <w:r>
        <w:rPr>
          <w:rFonts w:hint="eastAsia"/>
          <w:color w:val="000000" w:themeColor="text1"/>
          <w:u w:val="single"/>
          <w:lang w:eastAsia="zh-CN"/>
        </w:rPr>
        <w:t>（项目编号：FHC-PTCG20230911001 ）</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项目名称：福建福海创石油化工有限公司码头团队消防水炮防爆</w:t>
      </w:r>
      <w:r>
        <w:rPr>
          <w:rFonts w:hint="eastAsia"/>
          <w:sz w:val="24"/>
          <w:szCs w:val="24"/>
          <w:lang w:val="en-US" w:eastAsia="zh-CN"/>
        </w:rPr>
        <w:t>防爆</w:t>
      </w:r>
      <w:r>
        <w:rPr>
          <w:rFonts w:hint="eastAsia"/>
          <w:sz w:val="24"/>
          <w:szCs w:val="24"/>
          <w:lang w:eastAsia="zh-CN"/>
        </w:rPr>
        <w:t>电动执行机构</w:t>
      </w:r>
      <w:r>
        <w:rPr>
          <w:sz w:val="24"/>
          <w:szCs w:val="24"/>
          <w:lang w:eastAsia="zh-CN"/>
        </w:rPr>
        <w:t>采购</w:t>
      </w:r>
      <w:r>
        <w:rPr>
          <w:rFonts w:hint="eastAsia"/>
          <w:sz w:val="24"/>
          <w:szCs w:val="24"/>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sz w:val="24"/>
          <w:szCs w:val="24"/>
          <w:lang w:eastAsia="zh-CN"/>
        </w:rPr>
      </w:pPr>
      <w:r>
        <w:rPr>
          <w:sz w:val="24"/>
          <w:szCs w:val="24"/>
          <w:lang w:eastAsia="zh-CN"/>
        </w:rPr>
        <w:t>2.</w:t>
      </w:r>
      <w:r>
        <w:rPr>
          <w:rFonts w:hint="eastAsia"/>
          <w:sz w:val="24"/>
          <w:szCs w:val="24"/>
          <w:lang w:eastAsia="zh-CN"/>
        </w:rPr>
        <w:t>比选项目说明：</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sz w:val="24"/>
          <w:szCs w:val="24"/>
          <w:lang w:val="en-US" w:eastAsia="zh-CN"/>
        </w:rPr>
      </w:pPr>
      <w:r>
        <w:rPr>
          <w:rFonts w:hint="eastAsia"/>
          <w:sz w:val="24"/>
          <w:szCs w:val="24"/>
          <w:lang w:val="en-US" w:eastAsia="zh-CN"/>
        </w:rPr>
        <w:t>消防水炮防爆防爆电动执行器数量：5个</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sz w:val="24"/>
          <w:szCs w:val="24"/>
          <w:lang w:val="en-US" w:eastAsia="zh-CN"/>
        </w:rPr>
      </w:pPr>
      <w:r>
        <w:rPr>
          <w:rFonts w:hint="eastAsia"/>
          <w:sz w:val="24"/>
          <w:szCs w:val="24"/>
          <w:lang w:val="en-US" w:eastAsia="zh-CN"/>
        </w:rPr>
        <w:t>具体参数：型号规格:TOP-EX110B/标准时间:30S/输出扭矩:100N.m/电压:C220V/50Hz</w:t>
      </w:r>
      <w:r>
        <w:rPr>
          <w:rFonts w:hint="eastAsia"/>
          <w:sz w:val="24"/>
          <w:szCs w:val="24"/>
          <w:lang w:val="en-US" w:eastAsia="zh-CN"/>
        </w:rPr>
        <w:br w:type="textWrapping"/>
      </w:r>
      <w:r>
        <w:rPr>
          <w:rFonts w:hint="eastAsia"/>
          <w:sz w:val="24"/>
          <w:szCs w:val="24"/>
          <w:lang w:val="en-US" w:eastAsia="zh-CN"/>
        </w:rPr>
        <w:t>电机功准:20W/防爆等级:ExdllBT4/防护等级：IP65/管道：DN100（附件1《配套设备图片》）</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30000元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left="0" w:leftChars="0" w:right="0" w:firstLine="480" w:firstLineChars="200"/>
        <w:rPr>
          <w:rFonts w:hint="default"/>
          <w:lang w:val="en-US" w:eastAsia="zh-CN"/>
        </w:rPr>
      </w:pPr>
      <w:r>
        <w:rPr>
          <w:rFonts w:hint="eastAsia"/>
          <w:sz w:val="24"/>
          <w:szCs w:val="24"/>
          <w:lang w:val="en-US" w:eastAsia="zh-CN"/>
        </w:rPr>
        <w:t>4.</w:t>
      </w:r>
      <w:r>
        <w:rPr>
          <w:rFonts w:hint="eastAsia" w:ascii="宋体" w:hAnsi="宋体" w:eastAsia="宋体" w:cs="宋体"/>
          <w:sz w:val="24"/>
          <w:szCs w:val="24"/>
          <w:lang w:val="en-US" w:eastAsia="zh-CN" w:bidi="ar-SA"/>
        </w:rPr>
        <w:t>工期要求：</w:t>
      </w:r>
      <w:r>
        <w:rPr>
          <w:rFonts w:hint="eastAsia" w:hAnsi="宋体" w:cs="宋体"/>
          <w:sz w:val="24"/>
          <w:szCs w:val="24"/>
          <w:lang w:val="en-US" w:eastAsia="zh-CN" w:bidi="ar-SA"/>
        </w:rPr>
        <w:t>合同签订之日起30天内安装调式完成，质保期：验收合格之日起1年。</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生产商或授权代理商</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color w:val="000000" w:themeColor="text1"/>
          <w:sz w:val="24"/>
          <w:szCs w:val="24"/>
          <w:lang w:val="en-US" w:eastAsia="zh-CN"/>
        </w:rPr>
      </w:pPr>
      <w:r>
        <w:rPr>
          <w:rFonts w:hint="eastAsia"/>
          <w:color w:val="000000" w:themeColor="text1"/>
          <w:sz w:val="24"/>
          <w:szCs w:val="24"/>
          <w:lang w:val="en-US" w:eastAsia="zh-CN"/>
        </w:rPr>
        <w:t>3.参选人提供相关的产品证明必须符合国际、国家相关标准、行业标准。</w:t>
      </w:r>
    </w:p>
    <w:p>
      <w:pPr>
        <w:pStyle w:val="2"/>
        <w:keepNext w:val="0"/>
        <w:keepLines w:val="0"/>
        <w:pageBreakBefore w:val="0"/>
        <w:widowControl w:val="0"/>
        <w:kinsoku/>
        <w:wordWrap/>
        <w:overflowPunct/>
        <w:topLinePunct w:val="0"/>
        <w:bidi w:val="0"/>
        <w:snapToGrid/>
        <w:spacing w:line="360" w:lineRule="auto"/>
        <w:ind w:left="0" w:leftChars="0" w:firstLine="480" w:firstLineChars="200"/>
        <w:rPr>
          <w:rFonts w:hint="default"/>
          <w:lang w:val="en-US" w:eastAsia="zh-CN"/>
        </w:rPr>
      </w:pPr>
      <w:r>
        <w:rPr>
          <w:rFonts w:hint="eastAsia"/>
          <w:color w:val="000000" w:themeColor="text1"/>
          <w:sz w:val="24"/>
          <w:szCs w:val="24"/>
          <w:lang w:val="en-US" w:eastAsia="zh-CN"/>
        </w:rPr>
        <w:t xml:space="preserve">    4.参选人需提前与技术人员交流并确认防爆电动执行器与现有设备匹配后方能参与比选。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w:t>
      </w:r>
      <w:r>
        <w:rPr>
          <w:rFonts w:hint="eastAsia"/>
          <w:color w:val="000000" w:themeColor="text1"/>
          <w:sz w:val="24"/>
          <w:szCs w:val="24"/>
          <w:lang w:val="en-US" w:eastAsia="zh-CN"/>
        </w:rPr>
        <w:t>23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代理授权书（如有）、</w:t>
      </w:r>
      <w:r>
        <w:rPr>
          <w:rFonts w:hint="eastAsia"/>
          <w:color w:val="000000" w:themeColor="text1"/>
          <w:sz w:val="24"/>
          <w:szCs w:val="24"/>
          <w:lang w:eastAsia="zh-CN"/>
        </w:rPr>
        <w:t>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2" w:firstLineChars="200"/>
        <w:jc w:val="both"/>
        <w:textAlignment w:val="auto"/>
        <w:rPr>
          <w:rFonts w:hint="eastAsia"/>
          <w:b/>
          <w:bCs/>
          <w:color w:val="000000" w:themeColor="text1"/>
          <w:sz w:val="24"/>
          <w:szCs w:val="24"/>
          <w:lang w:eastAsia="zh-CN"/>
        </w:rPr>
      </w:pPr>
      <w:r>
        <w:rPr>
          <w:rFonts w:hint="eastAsia"/>
          <w:b/>
          <w:bCs/>
          <w:color w:val="000000" w:themeColor="text1"/>
          <w:sz w:val="24"/>
          <w:szCs w:val="24"/>
          <w:lang w:val="en-US" w:eastAsia="zh-CN"/>
        </w:rPr>
        <w:t>参选人需提前与技术人员进行技术交流并确认防爆电动执行器要与现有设备匹配后</w:t>
      </w:r>
      <w:r>
        <w:rPr>
          <w:rFonts w:hint="eastAsia"/>
          <w:b/>
          <w:bCs/>
          <w:color w:val="000000" w:themeColor="text1"/>
          <w:sz w:val="24"/>
          <w:szCs w:val="24"/>
          <w:lang w:eastAsia="zh-CN"/>
        </w:rPr>
        <w:t>方可参与后续比选。未进行报名和技术交流确认的参选人不能参加比选。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2023年9月25日12时止</w:t>
      </w:r>
      <w:r>
        <w:rPr>
          <w:rFonts w:hint="eastAsia"/>
          <w:color w:val="000000" w:themeColor="text1"/>
          <w:sz w:val="24"/>
          <w:szCs w:val="24"/>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ind w:left="0" w:leftChars="0" w:firstLine="480" w:firstLineChars="200"/>
        <w:rPr>
          <w:rFonts w:hint="default" w:ascii="宋体" w:hAnsi="宋体" w:eastAsia="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技术联系人：林明 电话：15860591511  邮箱：515981424@qq.com</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jc w:val="both"/>
        <w:textAlignment w:val="auto"/>
        <w:rPr>
          <w:sz w:val="24"/>
          <w:szCs w:val="24"/>
          <w:lang w:eastAsia="zh-CN"/>
        </w:rPr>
      </w:pPr>
      <w:r>
        <w:rPr>
          <w:rFonts w:hint="eastAsia"/>
          <w:color w:val="000000" w:themeColor="text1"/>
          <w:sz w:val="24"/>
          <w:szCs w:val="24"/>
          <w:lang w:eastAsia="zh-CN"/>
        </w:rPr>
        <w:t>邮编：363216</w:t>
      </w:r>
    </w:p>
    <w:bookmarkEnd w:id="1"/>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pPr>
        <w:pStyle w:val="3"/>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福建福海创石油化工有限公司码头团队消防水炮防爆电动执行机构</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lang w:eastAsia="zh-CN"/>
        </w:rPr>
      </w:pPr>
      <w:r>
        <w:rPr>
          <w:rFonts w:hint="eastAsia"/>
          <w:color w:val="000000" w:themeColor="text1"/>
          <w:lang w:eastAsia="zh-CN"/>
        </w:rPr>
        <w:t xml:space="preserve">    4.</w:t>
      </w:r>
      <w:r>
        <w:rPr>
          <w:rFonts w:hint="eastAsia"/>
          <w:lang w:eastAsia="zh-CN"/>
        </w:rPr>
        <w:t>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hAnsi="宋体" w:cs="宋体"/>
          <w:color w:val="000000" w:themeColor="text1"/>
          <w:sz w:val="24"/>
          <w:szCs w:val="24"/>
          <w:lang w:val="en-US" w:eastAsia="zh-CN" w:bidi="ar-SA"/>
        </w:rPr>
        <w:t>技术联系人：林明 电话：15860591511  邮箱：515981424@qq.com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生产商或授权代理商</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pPr>
      <w:r>
        <w:rPr>
          <w:rFonts w:hint="eastAsia"/>
          <w:color w:val="000000" w:themeColor="text1"/>
          <w:sz w:val="24"/>
          <w:szCs w:val="24"/>
          <w:lang w:val="en-US" w:eastAsia="zh-CN"/>
        </w:rPr>
        <w:t>3.参选人提供相关的产品证明必须符合国际、国家相关标准、行业标准。</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本项目不适用参选保证金，但参选单位未能按中</w:t>
      </w:r>
      <w:r>
        <w:rPr>
          <w:rFonts w:hint="eastAsia"/>
          <w:lang w:val="en-US" w:eastAsia="zh-CN"/>
        </w:rPr>
        <w:t>选公示</w:t>
      </w:r>
      <w:r>
        <w:rPr>
          <w:rFonts w:hint="eastAsia"/>
          <w:lang w:eastAsia="zh-CN"/>
        </w:rPr>
        <w:t>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rFonts w:hint="default"/>
          <w:b w:val="0"/>
          <w:color w:val="000000" w:themeColor="text1"/>
          <w:lang w:val="en-US"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2023年9月25日12时止</w:t>
      </w:r>
      <w:r>
        <w:rPr>
          <w:rFonts w:hint="eastAsia"/>
          <w:b w:val="0"/>
          <w:color w:val="000000" w:themeColor="text1"/>
          <w:lang w:val="en-US" w:eastAsia="zh-CN"/>
        </w:rPr>
        <w:t>。</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bCs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3"/>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34" w:firstLineChars="200"/>
        <w:textAlignment w:val="auto"/>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lang w:eastAsia="zh-CN"/>
        </w:rPr>
      </w:pPr>
      <w:r>
        <w:rPr>
          <w:rFonts w:hint="eastAsia"/>
          <w:b/>
          <w:color w:val="FF0000"/>
          <w:lang w:eastAsia="zh-CN"/>
        </w:rPr>
        <w:t>本项目设置最高控制价</w:t>
      </w:r>
      <w:r>
        <w:rPr>
          <w:rFonts w:hint="eastAsia"/>
          <w:b/>
          <w:color w:val="FF0000"/>
          <w:lang w:val="en-US" w:eastAsia="zh-CN"/>
        </w:rPr>
        <w:t>3</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80" w:leftChars="218" w:right="0" w:firstLine="0" w:firstLineChars="0"/>
        <w:jc w:val="both"/>
        <w:textAlignment w:val="auto"/>
        <w:rPr>
          <w:lang w:eastAsia="zh-CN"/>
        </w:rPr>
      </w:pP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34" w:firstLineChars="200"/>
        <w:textAlignment w:val="auto"/>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lang w:eastAsia="zh-CN"/>
        </w:rPr>
        <w:t>2.参选文件存在重大偏差的。</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r>
        <w:rPr>
          <w:rFonts w:hint="eastAsia" w:ascii="Times New Roman"/>
          <w:b/>
          <w:bCs/>
          <w:lang w:val="en-US" w:eastAsia="zh-CN"/>
        </w:rPr>
        <w:t>合同模板详看附件。</w:t>
      </w:r>
    </w:p>
    <w:p>
      <w:pPr>
        <w:pStyle w:val="2"/>
        <w:rPr>
          <w:rFonts w:hint="eastAsia"/>
          <w:b/>
          <w:bCs/>
          <w:sz w:val="24"/>
          <w:szCs w:val="24"/>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码头团队消防水炮防爆电动执行机构</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代理授权书（如有）、业绩文件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pPr>
              <w:spacing w:line="500" w:lineRule="exact"/>
              <w:rPr>
                <w:rFonts w:hint="eastAsia"/>
                <w:sz w:val="24"/>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default"/>
          <w:b/>
          <w:bCs/>
          <w:sz w:val="36"/>
          <w:szCs w:val="36"/>
          <w:lang w:val="en-US" w:eastAsia="zh-CN"/>
        </w:rPr>
      </w:pPr>
      <w:r>
        <w:rPr>
          <w:rFonts w:hint="eastAsia"/>
          <w:b/>
          <w:bCs/>
          <w:sz w:val="36"/>
          <w:szCs w:val="36"/>
          <w:lang w:val="en-US" w:eastAsia="zh-CN"/>
        </w:rPr>
        <w:t>代理授权书（如有）、业绩文件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码头团队消防水炮防爆电动执行机构</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540" w:type="dxa"/>
        <w:tblInd w:w="-318" w:type="dxa"/>
        <w:tblLayout w:type="autofit"/>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2871" w:hRule="atLeast"/>
        </w:trPr>
        <w:tc>
          <w:tcPr>
            <w:tcW w:w="9540"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tbl>
            <w:tblPr>
              <w:tblStyle w:val="4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988"/>
              <w:gridCol w:w="1401"/>
              <w:gridCol w:w="1123"/>
              <w:gridCol w:w="859"/>
              <w:gridCol w:w="11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9" w:type="dxa"/>
                  <w:vAlign w:val="center"/>
                </w:tcPr>
                <w:p>
                  <w:pPr>
                    <w:widowControl/>
                    <w:autoSpaceDE/>
                    <w:autoSpaceDN/>
                    <w:jc w:val="center"/>
                    <w:rPr>
                      <w:lang w:eastAsia="zh-CN"/>
                    </w:rPr>
                  </w:pPr>
                  <w:r>
                    <w:rPr>
                      <w:lang w:eastAsia="zh-CN"/>
                    </w:rPr>
                    <w:t>序号</w:t>
                  </w:r>
                </w:p>
              </w:tc>
              <w:tc>
                <w:tcPr>
                  <w:tcW w:w="1988" w:type="dxa"/>
                  <w:vAlign w:val="center"/>
                </w:tcPr>
                <w:p>
                  <w:pPr>
                    <w:widowControl/>
                    <w:autoSpaceDE/>
                    <w:autoSpaceDN/>
                    <w:jc w:val="center"/>
                    <w:rPr>
                      <w:lang w:eastAsia="zh-CN"/>
                    </w:rPr>
                  </w:pPr>
                  <w:r>
                    <w:rPr>
                      <w:lang w:eastAsia="zh-CN"/>
                    </w:rPr>
                    <w:t>物品名称</w:t>
                  </w:r>
                </w:p>
              </w:tc>
              <w:tc>
                <w:tcPr>
                  <w:tcW w:w="1401" w:type="dxa"/>
                  <w:vAlign w:val="center"/>
                </w:tcPr>
                <w:p>
                  <w:pPr>
                    <w:widowControl/>
                    <w:autoSpaceDE/>
                    <w:autoSpaceDN/>
                    <w:jc w:val="center"/>
                    <w:rPr>
                      <w:lang w:eastAsia="zh-CN"/>
                    </w:rPr>
                  </w:pPr>
                  <w:r>
                    <w:rPr>
                      <w:lang w:eastAsia="zh-CN"/>
                    </w:rPr>
                    <w:t>规格</w:t>
                  </w:r>
                </w:p>
              </w:tc>
              <w:tc>
                <w:tcPr>
                  <w:tcW w:w="1123" w:type="dxa"/>
                  <w:vAlign w:val="center"/>
                </w:tcPr>
                <w:p>
                  <w:pPr>
                    <w:widowControl/>
                    <w:autoSpaceDE/>
                    <w:autoSpaceDN/>
                    <w:jc w:val="center"/>
                    <w:rPr>
                      <w:lang w:eastAsia="zh-CN"/>
                    </w:rPr>
                  </w:pPr>
                  <w:r>
                    <w:rPr>
                      <w:rFonts w:hint="eastAsia"/>
                      <w:lang w:val="en-US" w:eastAsia="zh-CN"/>
                    </w:rPr>
                    <w:t>型号</w:t>
                  </w:r>
                </w:p>
              </w:tc>
              <w:tc>
                <w:tcPr>
                  <w:tcW w:w="859" w:type="dxa"/>
                  <w:vAlign w:val="center"/>
                </w:tcPr>
                <w:p>
                  <w:pPr>
                    <w:widowControl/>
                    <w:autoSpaceDE/>
                    <w:autoSpaceDN/>
                    <w:jc w:val="center"/>
                    <w:rPr>
                      <w:lang w:eastAsia="zh-CN"/>
                    </w:rPr>
                  </w:pPr>
                  <w:r>
                    <w:rPr>
                      <w:lang w:eastAsia="zh-CN"/>
                    </w:rPr>
                    <w:t>数量</w:t>
                  </w:r>
                </w:p>
              </w:tc>
              <w:tc>
                <w:tcPr>
                  <w:tcW w:w="1143" w:type="dxa"/>
                  <w:vAlign w:val="center"/>
                </w:tcPr>
                <w:p>
                  <w:pPr>
                    <w:widowControl/>
                    <w:autoSpaceDE/>
                    <w:autoSpaceDN/>
                    <w:jc w:val="center"/>
                    <w:rPr>
                      <w:lang w:eastAsia="zh-CN"/>
                    </w:rPr>
                  </w:pPr>
                  <w:r>
                    <w:rPr>
                      <w:lang w:eastAsia="zh-CN"/>
                    </w:rPr>
                    <w:t>单价</w:t>
                  </w:r>
                </w:p>
              </w:tc>
              <w:tc>
                <w:tcPr>
                  <w:tcW w:w="1114" w:type="dxa"/>
                  <w:vAlign w:val="center"/>
                </w:tcPr>
                <w:p>
                  <w:pPr>
                    <w:widowControl/>
                    <w:autoSpaceDE/>
                    <w:autoSpaceDN/>
                    <w:jc w:val="center"/>
                    <w:rPr>
                      <w:lang w:eastAsia="zh-CN"/>
                    </w:rPr>
                  </w:pPr>
                  <w:r>
                    <w:rPr>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1988" w:type="dxa"/>
                  <w:vAlign w:val="center"/>
                </w:tcPr>
                <w:p>
                  <w:pPr>
                    <w:widowControl/>
                    <w:autoSpaceDE/>
                    <w:autoSpaceDN/>
                    <w:jc w:val="center"/>
                    <w:rPr>
                      <w:lang w:eastAsia="zh-CN"/>
                    </w:rPr>
                  </w:pPr>
                  <w:r>
                    <w:rPr>
                      <w:rFonts w:hint="eastAsia"/>
                      <w:lang w:val="en-US" w:eastAsia="zh-CN"/>
                    </w:rPr>
                    <w:t>消防水炮防爆电动执行机构</w:t>
                  </w:r>
                </w:p>
              </w:tc>
              <w:tc>
                <w:tcPr>
                  <w:tcW w:w="1401" w:type="dxa"/>
                  <w:vAlign w:val="center"/>
                </w:tcPr>
                <w:p>
                  <w:pPr>
                    <w:widowControl/>
                    <w:autoSpaceDE/>
                    <w:autoSpaceDN/>
                    <w:jc w:val="center"/>
                    <w:rPr>
                      <w:rFonts w:hint="default"/>
                      <w:lang w:val="en-US" w:eastAsia="zh-CN"/>
                    </w:rPr>
                  </w:pPr>
                </w:p>
              </w:tc>
              <w:tc>
                <w:tcPr>
                  <w:tcW w:w="1123" w:type="dxa"/>
                  <w:vAlign w:val="center"/>
                </w:tcPr>
                <w:p>
                  <w:pPr>
                    <w:widowControl/>
                    <w:autoSpaceDE/>
                    <w:autoSpaceDN/>
                    <w:jc w:val="center"/>
                    <w:rPr>
                      <w:rFonts w:hint="default"/>
                      <w:lang w:val="en-US" w:eastAsia="zh-CN"/>
                    </w:rPr>
                  </w:pPr>
                  <w:r>
                    <w:rPr>
                      <w:rFonts w:hint="eastAsia"/>
                      <w:lang w:val="en-US" w:eastAsia="zh-CN"/>
                    </w:rPr>
                    <w:t xml:space="preserve"> </w:t>
                  </w:r>
                </w:p>
              </w:tc>
              <w:tc>
                <w:tcPr>
                  <w:tcW w:w="859" w:type="dxa"/>
                  <w:vAlign w:val="center"/>
                </w:tcPr>
                <w:p>
                  <w:pPr>
                    <w:widowControl/>
                    <w:autoSpaceDE/>
                    <w:autoSpaceDN/>
                    <w:jc w:val="center"/>
                    <w:rPr>
                      <w:rFonts w:hint="default"/>
                      <w:lang w:val="en-US" w:eastAsia="zh-CN"/>
                    </w:rPr>
                  </w:pPr>
                  <w:r>
                    <w:rPr>
                      <w:rFonts w:hint="eastAsia"/>
                      <w:lang w:val="en-US" w:eastAsia="zh-CN"/>
                    </w:rPr>
                    <w:t>5个</w:t>
                  </w:r>
                </w:p>
              </w:tc>
              <w:tc>
                <w:tcPr>
                  <w:tcW w:w="1143" w:type="dxa"/>
                  <w:vAlign w:val="center"/>
                </w:tcPr>
                <w:p>
                  <w:pPr>
                    <w:widowControl/>
                    <w:autoSpaceDE/>
                    <w:autoSpaceDN/>
                    <w:jc w:val="center"/>
                    <w:rPr>
                      <w:lang w:eastAsia="zh-CN"/>
                    </w:rPr>
                  </w:pPr>
                </w:p>
              </w:tc>
              <w:tc>
                <w:tcPr>
                  <w:tcW w:w="1114" w:type="dxa"/>
                  <w:vAlign w:val="center"/>
                </w:tcPr>
                <w:p>
                  <w:pPr>
                    <w:widowControl/>
                    <w:autoSpaceDE/>
                    <w:autoSpaceDN/>
                    <w:jc w:val="center"/>
                    <w:rPr>
                      <w:lang w:eastAsia="zh-CN"/>
                    </w:rPr>
                  </w:pPr>
                </w:p>
              </w:tc>
            </w:tr>
          </w:tbl>
          <w:p>
            <w:pPr>
              <w:pStyle w:val="2"/>
            </w:pPr>
          </w:p>
        </w:tc>
      </w:tr>
    </w:tbl>
    <w:p>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3</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 xml:space="preserve">2023 </w:t>
      </w:r>
      <w:r>
        <w:rPr>
          <w:rFonts w:hint="eastAsia"/>
          <w:sz w:val="28"/>
          <w:u w:val="single"/>
          <w:lang w:eastAsia="zh-CN"/>
        </w:rPr>
        <w:t xml:space="preserve">年 </w:t>
      </w:r>
      <w:r>
        <w:rPr>
          <w:rFonts w:hint="eastAsia"/>
          <w:sz w:val="28"/>
          <w:u w:val="single"/>
          <w:lang w:val="en-US" w:eastAsia="zh-CN"/>
        </w:rPr>
        <w:t>9</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77A5905"/>
    <w:rsid w:val="08D1141D"/>
    <w:rsid w:val="0B296DE2"/>
    <w:rsid w:val="0B49218D"/>
    <w:rsid w:val="0CE72D11"/>
    <w:rsid w:val="10294AA3"/>
    <w:rsid w:val="10E40CA0"/>
    <w:rsid w:val="11072A94"/>
    <w:rsid w:val="13513209"/>
    <w:rsid w:val="136130D9"/>
    <w:rsid w:val="13805E8A"/>
    <w:rsid w:val="14762538"/>
    <w:rsid w:val="15800409"/>
    <w:rsid w:val="17F13C7F"/>
    <w:rsid w:val="18DD4F7E"/>
    <w:rsid w:val="195B58A2"/>
    <w:rsid w:val="1989465C"/>
    <w:rsid w:val="1E085A14"/>
    <w:rsid w:val="1FF43DDB"/>
    <w:rsid w:val="21933AA2"/>
    <w:rsid w:val="23F03E46"/>
    <w:rsid w:val="24A24A9D"/>
    <w:rsid w:val="25BF356F"/>
    <w:rsid w:val="25DB0C2D"/>
    <w:rsid w:val="269469E7"/>
    <w:rsid w:val="27EE0826"/>
    <w:rsid w:val="2998140D"/>
    <w:rsid w:val="29FC3B14"/>
    <w:rsid w:val="2A7035AB"/>
    <w:rsid w:val="2B11792E"/>
    <w:rsid w:val="2D9667D6"/>
    <w:rsid w:val="2ECB74EC"/>
    <w:rsid w:val="2F724BD0"/>
    <w:rsid w:val="31C54755"/>
    <w:rsid w:val="3216608C"/>
    <w:rsid w:val="33F77BEB"/>
    <w:rsid w:val="34CE14C6"/>
    <w:rsid w:val="34D84CEC"/>
    <w:rsid w:val="34F077CD"/>
    <w:rsid w:val="3619384F"/>
    <w:rsid w:val="37AF5AB7"/>
    <w:rsid w:val="39A71D68"/>
    <w:rsid w:val="39E41149"/>
    <w:rsid w:val="3B1C3371"/>
    <w:rsid w:val="3CC23198"/>
    <w:rsid w:val="3D952560"/>
    <w:rsid w:val="3DDF4815"/>
    <w:rsid w:val="3FE669E5"/>
    <w:rsid w:val="462A54F2"/>
    <w:rsid w:val="49B31EFB"/>
    <w:rsid w:val="4A6A5207"/>
    <w:rsid w:val="4A9D378E"/>
    <w:rsid w:val="4A9D4A92"/>
    <w:rsid w:val="4C797628"/>
    <w:rsid w:val="4F5B47AC"/>
    <w:rsid w:val="50F63E28"/>
    <w:rsid w:val="5221007F"/>
    <w:rsid w:val="52926B5A"/>
    <w:rsid w:val="52F74B88"/>
    <w:rsid w:val="53E110E2"/>
    <w:rsid w:val="545C5E51"/>
    <w:rsid w:val="5486175B"/>
    <w:rsid w:val="57667D24"/>
    <w:rsid w:val="57CE5BC3"/>
    <w:rsid w:val="59A13646"/>
    <w:rsid w:val="5A2D3E44"/>
    <w:rsid w:val="5A3260D4"/>
    <w:rsid w:val="5AE1516A"/>
    <w:rsid w:val="5B6A3A79"/>
    <w:rsid w:val="5C1A5F7B"/>
    <w:rsid w:val="5D7A3273"/>
    <w:rsid w:val="5E2B4120"/>
    <w:rsid w:val="5FDC4FA2"/>
    <w:rsid w:val="628D3982"/>
    <w:rsid w:val="645771F8"/>
    <w:rsid w:val="663E4868"/>
    <w:rsid w:val="665422B8"/>
    <w:rsid w:val="6A54112D"/>
    <w:rsid w:val="6A701C86"/>
    <w:rsid w:val="6AA035AE"/>
    <w:rsid w:val="6BA13C7D"/>
    <w:rsid w:val="6BCB034D"/>
    <w:rsid w:val="6BD85D34"/>
    <w:rsid w:val="6C0E1756"/>
    <w:rsid w:val="6E0F2E14"/>
    <w:rsid w:val="6F1E141D"/>
    <w:rsid w:val="6F5354F8"/>
    <w:rsid w:val="727810B8"/>
    <w:rsid w:val="740A2BDE"/>
    <w:rsid w:val="751839E0"/>
    <w:rsid w:val="76274F93"/>
    <w:rsid w:val="76F40D46"/>
    <w:rsid w:val="776C1389"/>
    <w:rsid w:val="79EB3F2F"/>
    <w:rsid w:val="79FD3C4B"/>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9">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9">
    <w:name w:val="p0"/>
    <w:basedOn w:val="1"/>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uiPriority w:val="0"/>
  </w:style>
  <w:style w:type="character" w:customStyle="1" w:styleId="208">
    <w:name w:val="xdrichtextbox3"/>
    <w:basedOn w:val="49"/>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9"/>
    <w:uiPriority w:val="0"/>
  </w:style>
  <w:style w:type="character" w:customStyle="1" w:styleId="216">
    <w:name w:val="button4"/>
    <w:basedOn w:val="49"/>
    <w:qFormat/>
    <w:uiPriority w:val="0"/>
  </w:style>
  <w:style w:type="character" w:customStyle="1" w:styleId="217">
    <w:name w:val="tmpztreemove_arrow"/>
    <w:basedOn w:val="49"/>
    <w:uiPriority w:val="0"/>
  </w:style>
  <w:style w:type="character" w:customStyle="1" w:styleId="218">
    <w:name w:val="hilite"/>
    <w:basedOn w:val="49"/>
    <w:uiPriority w:val="0"/>
    <w:rPr>
      <w:color w:val="FFFFFF"/>
      <w:shd w:val="clear" w:fill="666666"/>
    </w:rPr>
  </w:style>
  <w:style w:type="character" w:customStyle="1" w:styleId="219">
    <w:name w:val="choosename"/>
    <w:basedOn w:val="49"/>
    <w:uiPriority w:val="0"/>
  </w:style>
  <w:style w:type="character" w:customStyle="1" w:styleId="220">
    <w:name w:val="associateddata"/>
    <w:basedOn w:val="49"/>
    <w:uiPriority w:val="0"/>
    <w:rPr>
      <w:shd w:val="clear" w:fill="50A6F9"/>
    </w:rPr>
  </w:style>
  <w:style w:type="character" w:customStyle="1" w:styleId="221">
    <w:name w:val="pagechatarealistclose_box"/>
    <w:basedOn w:val="49"/>
    <w:qFormat/>
    <w:uiPriority w:val="0"/>
  </w:style>
  <w:style w:type="character" w:customStyle="1" w:styleId="222">
    <w:name w:val="pagechatarealistclose_box1"/>
    <w:basedOn w:val="49"/>
    <w:uiPriority w:val="0"/>
  </w:style>
  <w:style w:type="character" w:customStyle="1" w:styleId="223">
    <w:name w:val="ico1654"/>
    <w:basedOn w:val="49"/>
    <w:qFormat/>
    <w:uiPriority w:val="0"/>
  </w:style>
  <w:style w:type="character" w:customStyle="1" w:styleId="224">
    <w:name w:val="ico1655"/>
    <w:basedOn w:val="49"/>
    <w:qFormat/>
    <w:uiPriority w:val="0"/>
  </w:style>
  <w:style w:type="character" w:customStyle="1" w:styleId="225">
    <w:name w:val="w32"/>
    <w:basedOn w:val="49"/>
    <w:uiPriority w:val="0"/>
  </w:style>
  <w:style w:type="character" w:customStyle="1" w:styleId="226">
    <w:name w:val="active3"/>
    <w:basedOn w:val="49"/>
    <w:qFormat/>
    <w:uiPriority w:val="0"/>
    <w:rPr>
      <w:color w:val="00FF00"/>
      <w:shd w:val="clear" w:fill="111111"/>
    </w:rPr>
  </w:style>
  <w:style w:type="character" w:customStyle="1" w:styleId="227">
    <w:name w:val="iconline2"/>
    <w:basedOn w:val="49"/>
    <w:qFormat/>
    <w:uiPriority w:val="0"/>
  </w:style>
  <w:style w:type="character" w:customStyle="1" w:styleId="228">
    <w:name w:val="icontext1"/>
    <w:basedOn w:val="49"/>
    <w:qFormat/>
    <w:uiPriority w:val="0"/>
  </w:style>
  <w:style w:type="character" w:customStyle="1" w:styleId="229">
    <w:name w:val="icontext11"/>
    <w:basedOn w:val="49"/>
    <w:uiPriority w:val="0"/>
  </w:style>
  <w:style w:type="character" w:customStyle="1" w:styleId="230">
    <w:name w:val="icontext12"/>
    <w:basedOn w:val="49"/>
    <w:uiPriority w:val="0"/>
  </w:style>
  <w:style w:type="character" w:customStyle="1" w:styleId="231">
    <w:name w:val="icontext2"/>
    <w:basedOn w:val="49"/>
    <w:qFormat/>
    <w:uiPriority w:val="0"/>
  </w:style>
  <w:style w:type="character" w:customStyle="1" w:styleId="232">
    <w:name w:val="layui-layer-tabnow"/>
    <w:basedOn w:val="49"/>
    <w:uiPriority w:val="0"/>
    <w:rPr>
      <w:bdr w:val="single" w:color="CCCCCC" w:sz="6" w:space="0"/>
      <w:shd w:val="clear" w:fill="FFFFFF"/>
    </w:rPr>
  </w:style>
  <w:style w:type="character" w:customStyle="1" w:styleId="233">
    <w:name w:val="edit_class"/>
    <w:basedOn w:val="49"/>
    <w:uiPriority w:val="0"/>
  </w:style>
  <w:style w:type="character" w:customStyle="1" w:styleId="234">
    <w:name w:val="after"/>
    <w:basedOn w:val="49"/>
    <w:uiPriority w:val="0"/>
    <w:rPr>
      <w:sz w:val="0"/>
      <w:szCs w:val="0"/>
    </w:rPr>
  </w:style>
  <w:style w:type="character" w:customStyle="1" w:styleId="235">
    <w:name w:val="drapbtn"/>
    <w:basedOn w:val="49"/>
    <w:uiPriority w:val="0"/>
  </w:style>
  <w:style w:type="character" w:customStyle="1" w:styleId="236">
    <w:name w:val="cdropright"/>
    <w:basedOn w:val="49"/>
    <w:qFormat/>
    <w:uiPriority w:val="0"/>
  </w:style>
  <w:style w:type="character" w:customStyle="1" w:styleId="237">
    <w:name w:val="cdropleft"/>
    <w:basedOn w:val="49"/>
    <w:uiPriority w:val="0"/>
  </w:style>
  <w:style w:type="character" w:customStyle="1" w:styleId="238">
    <w:name w:val="xdrichtextbox"/>
    <w:basedOn w:val="49"/>
    <w:uiPriority w:val="0"/>
    <w:rPr>
      <w:color w:val="auto"/>
      <w:u w:val="none"/>
      <w:bdr w:val="single" w:color="DCDCDC" w:sz="8" w:space="0"/>
      <w:shd w:val="clear" w:fill="auto"/>
    </w:rPr>
  </w:style>
  <w:style w:type="character" w:customStyle="1" w:styleId="239">
    <w:name w:val="biggerthanmax"/>
    <w:basedOn w:val="49"/>
    <w:uiPriority w:val="0"/>
    <w:rPr>
      <w:shd w:val="clear" w:fill="FFFF00"/>
    </w:rPr>
  </w:style>
  <w:style w:type="character" w:customStyle="1" w:styleId="240">
    <w:name w:val="icontext3"/>
    <w:basedOn w:val="49"/>
    <w:qFormat/>
    <w:uiPriority w:val="0"/>
  </w:style>
  <w:style w:type="character" w:customStyle="1" w:styleId="241">
    <w:name w:val="cy"/>
    <w:basedOn w:val="49"/>
    <w:uiPriority w:val="0"/>
  </w:style>
  <w:style w:type="character" w:customStyle="1" w:styleId="242">
    <w:name w:val="design_class"/>
    <w:basedOn w:val="49"/>
    <w:uiPriority w:val="0"/>
  </w:style>
  <w:style w:type="character" w:customStyle="1" w:styleId="243">
    <w:name w:val="hilite6"/>
    <w:basedOn w:val="49"/>
    <w:uiPriority w:val="0"/>
    <w:rPr>
      <w:color w:val="FFFFFF"/>
      <w:shd w:val="clear" w:fill="666666"/>
    </w:rPr>
  </w:style>
  <w:style w:type="character" w:customStyle="1" w:styleId="244">
    <w:name w:val="hover"/>
    <w:basedOn w:val="49"/>
    <w:uiPriority w:val="0"/>
    <w:rPr>
      <w:color w:val="FFFFFF"/>
    </w:rPr>
  </w:style>
  <w:style w:type="character" w:customStyle="1" w:styleId="245">
    <w:name w:val="iconline21"/>
    <w:basedOn w:val="49"/>
    <w:uiPriority w:val="0"/>
  </w:style>
  <w:style w:type="character" w:customStyle="1" w:styleId="246">
    <w:name w:val="active4"/>
    <w:basedOn w:val="49"/>
    <w:uiPriority w:val="0"/>
    <w:rPr>
      <w:color w:val="00FF00"/>
      <w:shd w:val="clear" w:fill="111111"/>
    </w:rPr>
  </w:style>
  <w:style w:type="character" w:customStyle="1" w:styleId="247">
    <w:name w:val="xdrichtextbox4"/>
    <w:basedOn w:val="49"/>
    <w:qFormat/>
    <w:uiPriority w:val="0"/>
  </w:style>
  <w:style w:type="character" w:customStyle="1" w:styleId="248">
    <w:name w:val="ico1653"/>
    <w:basedOn w:val="49"/>
    <w:uiPriority w:val="0"/>
  </w:style>
  <w:style w:type="character" w:customStyle="1" w:styleId="249">
    <w:name w:val="active5"/>
    <w:basedOn w:val="49"/>
    <w:uiPriority w:val="0"/>
    <w:rPr>
      <w:shd w:val="clear" w:fill="EC3535"/>
    </w:rPr>
  </w:style>
  <w:style w:type="character" w:customStyle="1" w:styleId="250">
    <w:name w:val="active6"/>
    <w:basedOn w:val="49"/>
    <w:uiPriority w:val="0"/>
    <w:rPr>
      <w:color w:val="00FF00"/>
      <w:shd w:val="clear" w:fill="111111"/>
    </w:rPr>
  </w:style>
  <w:style w:type="character" w:customStyle="1" w:styleId="251">
    <w:name w:val="hover41"/>
    <w:basedOn w:val="49"/>
    <w:qFormat/>
    <w:uiPriority w:val="0"/>
    <w:rPr>
      <w:color w:val="FFFFFF"/>
    </w:rPr>
  </w:style>
  <w:style w:type="character" w:customStyle="1" w:styleId="252">
    <w:name w:val="active"/>
    <w:basedOn w:val="49"/>
    <w:uiPriority w:val="0"/>
    <w:rPr>
      <w:color w:val="00FF00"/>
      <w:shd w:val="clear" w:fill="111111"/>
    </w:rPr>
  </w:style>
  <w:style w:type="character" w:customStyle="1" w:styleId="253">
    <w:name w:val="active1"/>
    <w:basedOn w:val="49"/>
    <w:uiPriority w:val="0"/>
    <w:rPr>
      <w:shd w:val="clear" w:fill="EC3535"/>
    </w:rPr>
  </w:style>
  <w:style w:type="character" w:customStyle="1" w:styleId="254">
    <w:name w:val="active2"/>
    <w:basedOn w:val="49"/>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9865</Words>
  <Characters>10545</Characters>
  <Lines>115</Lines>
  <Paragraphs>32</Paragraphs>
  <TotalTime>1</TotalTime>
  <ScaleCrop>false</ScaleCrop>
  <LinksUpToDate>false</LinksUpToDate>
  <CharactersWithSpaces>11373</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2023-09-13T06:27:36Z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2052-12.1.0.15066</vt:lpwstr>
  </property>
  <property fmtid="{D5CDD505-2E9C-101B-9397-08002B2CF9AE}" pid="6" name="ICV">
    <vt:lpwstr>7EFD1898B78A4345BC21372367C648C1</vt:lpwstr>
  </property>
</Properties>
</file>